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72"/>
        <w:gridCol w:w="4227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AD2065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5C267C">
              <w:rPr>
                <w:rFonts w:asciiTheme="majorHAnsi" w:eastAsiaTheme="majorEastAsia" w:hAnsiTheme="majorHAnsi" w:cstheme="majorBidi"/>
                <w:sz w:val="36"/>
                <w:szCs w:val="36"/>
              </w:rPr>
              <w:t>TEMMUZ-EYLÜL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5C267C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GSYH Büyümesi</w:t>
            </w:r>
          </w:p>
        </w:tc>
        <w:tc>
          <w:tcPr>
            <w:tcW w:w="4678" w:type="dxa"/>
          </w:tcPr>
          <w:p w:rsidR="00AD2065" w:rsidRDefault="005C267C" w:rsidP="00FE2D1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10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FE2D1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Aralık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5C267C" w:rsidP="00AD2065">
      <w:pPr>
        <w:rPr>
          <w:b/>
        </w:rPr>
      </w:pPr>
      <w:r>
        <w:rPr>
          <w:b/>
        </w:rPr>
        <w:t>Temmuz-Eylül</w:t>
      </w:r>
      <w:r w:rsidR="00EF4E45" w:rsidRPr="00EF4E45">
        <w:rPr>
          <w:b/>
        </w:rPr>
        <w:t xml:space="preserve"> 2014 </w:t>
      </w:r>
      <w:r>
        <w:rPr>
          <w:b/>
        </w:rPr>
        <w:t>Gayri Safi Yurtiçi Hasıla</w:t>
      </w:r>
      <w:r w:rsidR="0025152A">
        <w:rPr>
          <w:b/>
        </w:rPr>
        <w:t>sına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10</w:t>
      </w:r>
      <w:r w:rsidR="00EF4E45" w:rsidRPr="00EF4E45">
        <w:rPr>
          <w:b/>
        </w:rPr>
        <w:t xml:space="preserve"> </w:t>
      </w:r>
      <w:r w:rsidR="00FE2D1A">
        <w:rPr>
          <w:b/>
        </w:rPr>
        <w:t xml:space="preserve">Aralık </w:t>
      </w:r>
      <w:r w:rsidR="00EF4E45" w:rsidRPr="00EF4E45">
        <w:rPr>
          <w:b/>
        </w:rPr>
        <w:t>2014 tarihinde yayımlandı.</w:t>
      </w:r>
    </w:p>
    <w:p w:rsidR="005C267C" w:rsidRDefault="005C267C" w:rsidP="005C267C">
      <w:pPr>
        <w:pStyle w:val="Balk1"/>
      </w:pPr>
      <w:r>
        <w:t xml:space="preserve">2014 yılı 3.çeyreğinde GSYH büyümesi sabit fiyatlarla yüzde 1,7 oldu. </w:t>
      </w:r>
    </w:p>
    <w:p w:rsidR="005C267C" w:rsidRDefault="005C267C" w:rsidP="00FD0F6A">
      <w:pPr>
        <w:jc w:val="both"/>
        <w:outlineLvl w:val="1"/>
      </w:pPr>
      <w:r>
        <w:t xml:space="preserve">2014 yılı 3.çeyreğinde GSYH, 2013 yılı 3.çeyreğine oranla </w:t>
      </w:r>
      <w:r w:rsidRPr="005C267C">
        <w:rPr>
          <w:b/>
        </w:rPr>
        <w:t>sabit fiyatlarla</w:t>
      </w:r>
      <w:r>
        <w:t xml:space="preserve"> yüzde 1,7 büyüyerek 33,5 milyar TL</w:t>
      </w:r>
      <w:r w:rsidR="002675CA">
        <w:t xml:space="preserve"> olmuştur</w:t>
      </w:r>
      <w:r>
        <w:t>. İlk 9 aylık veriler ise yine sabit fiyatlarla 2013’ün ilk 9 ayına göre yüzde 2,8’lik bir büyümeye işaret etmektedir</w:t>
      </w:r>
      <w:r w:rsidR="005F0574">
        <w:t xml:space="preserve"> (Şekil 1)</w:t>
      </w:r>
      <w:r>
        <w:t xml:space="preserve">. </w:t>
      </w:r>
      <w:r w:rsidRPr="005C267C">
        <w:rPr>
          <w:b/>
        </w:rPr>
        <w:t>Cari fiyatlarla</w:t>
      </w:r>
      <w:r>
        <w:t xml:space="preserve"> bakıldığında ise söz konusu büyümelerin sırasıyla yüzde 10,6 ve yüzde 11,9 olduğu görülmektedir. </w:t>
      </w:r>
      <w:r w:rsidR="002675CA">
        <w:t xml:space="preserve">2014 yılı 9.ay sonu itibariyle GSYH, </w:t>
      </w:r>
      <w:r w:rsidR="002675CA" w:rsidRPr="006B0665">
        <w:rPr>
          <w:b/>
        </w:rPr>
        <w:t>sabit fiyatlarla</w:t>
      </w:r>
      <w:r w:rsidR="002675CA">
        <w:t xml:space="preserve"> 93,7 milyon TL, </w:t>
      </w:r>
      <w:r w:rsidR="002675CA" w:rsidRPr="006B0665">
        <w:rPr>
          <w:b/>
        </w:rPr>
        <w:t>cari fiyatlarla</w:t>
      </w:r>
      <w:r w:rsidR="002675CA">
        <w:t xml:space="preserve"> ise 1 trilyon 297 milyon TL’ye ulaşmıştır. </w:t>
      </w:r>
      <w:r w:rsidR="006B0665" w:rsidRPr="006B0665">
        <w:rPr>
          <w:b/>
        </w:rPr>
        <w:t>Mevsim ve takvim etkilerin arındırılmış</w:t>
      </w:r>
      <w:r w:rsidR="006B0665">
        <w:t xml:space="preserve"> GSYH ise sabit fiyatlarla 2013 3.çeyreğine göre yüzde 1,8’lik bir artış göstermiştir.</w:t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2675CA">
        <w:rPr>
          <w:rFonts w:eastAsia="Times New Roman" w:cs="Times New Roman"/>
          <w:b/>
          <w:bCs/>
          <w:kern w:val="36"/>
          <w:sz w:val="24"/>
          <w:szCs w:val="24"/>
        </w:rPr>
        <w:t>Çeyreklere göre GSYH büyüme hızları, 2013-2014 (Sabit fiyatlarla)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FD0F6A" w:rsidRDefault="002675CA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 w:rsidRPr="002675CA">
        <w:rPr>
          <w:rFonts w:eastAsia="Times New Roman" w:cs="Times New Roman"/>
          <w:b/>
          <w:bCs/>
          <w:kern w:val="36"/>
          <w:sz w:val="28"/>
          <w:szCs w:val="24"/>
        </w:rPr>
        <w:drawing>
          <wp:inline distT="0" distB="0" distL="0" distR="0">
            <wp:extent cx="5876925" cy="2743200"/>
            <wp:effectExtent l="0" t="0" r="0" b="0"/>
            <wp:docPr id="3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0665" w:rsidRDefault="006B0665" w:rsidP="006B0665">
      <w:pPr>
        <w:pStyle w:val="Balk1"/>
      </w:pPr>
      <w:r>
        <w:t xml:space="preserve">İmalat sanayi büyümesi 3.çeyrekte sabit fiyatlarla yüzde 2,2 oldu. </w:t>
      </w:r>
    </w:p>
    <w:p w:rsidR="002F3774" w:rsidRDefault="005F0574" w:rsidP="00FD0F6A">
      <w:pPr>
        <w:jc w:val="both"/>
        <w:outlineLvl w:val="1"/>
      </w:pPr>
      <w:r>
        <w:t>Üretim yöntemiyle GSYH hesaplarına i</w:t>
      </w:r>
      <w:r w:rsidR="002F3774">
        <w:t>ktisadi faaliyet kollarına göre bakıldığında imalat sanayinin 3.çeyrekte 2013 3.çeyreğine oranla, sabit fiyatlarla yüzde 2,2 büyüdüğü görülmektedir</w:t>
      </w:r>
      <w:r>
        <w:t xml:space="preserve"> (Tablo 1)</w:t>
      </w:r>
      <w:r w:rsidR="002F3774">
        <w:t xml:space="preserve">. </w:t>
      </w:r>
      <w:r>
        <w:t xml:space="preserve">Sektörler arasında daralmanın yaşandığı tek sektör 2.çeyrekte de olduğu gibi yüzde -4,9 ile tarım, ormancılık ve balıkçılık sektörü olmuştur. Finans ve sigorta faaliyetlerinde ise yüzde 5,2’lik bir büyüme olduğu izlenmektedir. </w:t>
      </w:r>
    </w:p>
    <w:p w:rsidR="005F0574" w:rsidRDefault="005F0574" w:rsidP="00FD0F6A">
      <w:pPr>
        <w:jc w:val="both"/>
        <w:outlineLvl w:val="1"/>
      </w:pPr>
    </w:p>
    <w:p w:rsidR="005F0574" w:rsidRDefault="005F0574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Tablo 1: Üretim yöntemiyle 3.Çeyrek GSYH büyümesi, 2013 3.çeyreğine göre (sabit fiyatlarla)</w:t>
      </w:r>
    </w:p>
    <w:p w:rsidR="00160C8F" w:rsidRDefault="006B0665" w:rsidP="00FE2D1A">
      <w:pPr>
        <w:jc w:val="both"/>
      </w:pPr>
      <w:r w:rsidRPr="006B0665">
        <w:drawing>
          <wp:inline distT="0" distB="0" distL="0" distR="0">
            <wp:extent cx="4295775" cy="3095625"/>
            <wp:effectExtent l="19050" t="0" r="9525" b="0"/>
            <wp:docPr id="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665" w:rsidRDefault="006B0665" w:rsidP="006B0665">
      <w:pPr>
        <w:pStyle w:val="Balk1"/>
      </w:pPr>
      <w:r>
        <w:t>2014 yılı 3.çeyreğinde en yüksek büyüme ihracat ve kamu harcamalarında yaşandı</w:t>
      </w:r>
    </w:p>
    <w:p w:rsidR="005F0574" w:rsidRDefault="005F0574" w:rsidP="00FE2D1A">
      <w:pPr>
        <w:jc w:val="both"/>
      </w:pPr>
      <w:r>
        <w:t>Harc</w:t>
      </w:r>
      <w:r w:rsidR="00FB4F18">
        <w:t>ama yöntemiyle GSYH hesaplarına</w:t>
      </w:r>
      <w:r>
        <w:t xml:space="preserve"> sabit fiyatlarla</w:t>
      </w:r>
      <w:r w:rsidR="00FB4F18">
        <w:t xml:space="preserve"> bakıldığında 2014 3.çeyreğinde en yüksek büyümenin yüzde 8 ile mal ve hizmet ihracatında yaşandığı görülmektedir (Tablo 2). Mal ve hizmet ihracatı böylelikle yılın ilk 9 ayında sabit fiyatlarla yüzde 8,1 büyüme gerçekleştirmiştir. Devletin nihai tüketim harcamaları 3.çeyrekte yüzde 6,6 büyüme ile ihracatı takip etmektedir. </w:t>
      </w:r>
      <w:proofErr w:type="spellStart"/>
      <w:r w:rsidR="00FB4F18">
        <w:t>Hanehalkı</w:t>
      </w:r>
      <w:proofErr w:type="spellEnd"/>
      <w:r w:rsidR="00FB4F18">
        <w:t xml:space="preserve"> nihai tüketiminin yüzde 0,2 büyümeyle 2.çeyrekteki zayıf büyümesini devam ettirdiği izlenmektedir. </w:t>
      </w:r>
    </w:p>
    <w:p w:rsidR="006B0665" w:rsidRDefault="006B0665" w:rsidP="00FE2D1A">
      <w:pPr>
        <w:jc w:val="both"/>
      </w:pPr>
      <w:r>
        <w:rPr>
          <w:rFonts w:eastAsia="Times New Roman" w:cs="Times New Roman"/>
          <w:b/>
          <w:bCs/>
          <w:kern w:val="36"/>
          <w:sz w:val="24"/>
          <w:szCs w:val="24"/>
        </w:rPr>
        <w:t>Tablo 2: Harcama yöntemiyle çeyreklik GSYH büyümesi, 2013-2014 (sabit fiyatlarla)</w:t>
      </w:r>
    </w:p>
    <w:p w:rsidR="00FB4F18" w:rsidRDefault="006B0665" w:rsidP="00FE2D1A">
      <w:pPr>
        <w:jc w:val="both"/>
      </w:pPr>
      <w:r w:rsidRPr="006B0665">
        <w:drawing>
          <wp:inline distT="0" distB="0" distL="0" distR="0">
            <wp:extent cx="5972810" cy="2321187"/>
            <wp:effectExtent l="19050" t="0" r="889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2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F18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6D" w:rsidRDefault="004A3E6D" w:rsidP="00C04441">
      <w:pPr>
        <w:spacing w:after="0" w:line="240" w:lineRule="auto"/>
      </w:pPr>
      <w:r>
        <w:separator/>
      </w:r>
    </w:p>
  </w:endnote>
  <w:endnote w:type="continuationSeparator" w:id="0">
    <w:p w:rsidR="004A3E6D" w:rsidRDefault="004A3E6D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6D" w:rsidRDefault="004A3E6D" w:rsidP="00C04441">
      <w:pPr>
        <w:spacing w:after="0" w:line="240" w:lineRule="auto"/>
      </w:pPr>
      <w:r>
        <w:separator/>
      </w:r>
    </w:p>
  </w:footnote>
  <w:footnote w:type="continuationSeparator" w:id="0">
    <w:p w:rsidR="004A3E6D" w:rsidRDefault="004A3E6D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B7EA9"/>
    <w:rsid w:val="000D18BE"/>
    <w:rsid w:val="00112C0F"/>
    <w:rsid w:val="001243A0"/>
    <w:rsid w:val="00160C8F"/>
    <w:rsid w:val="001E11A2"/>
    <w:rsid w:val="001E5A63"/>
    <w:rsid w:val="001F7633"/>
    <w:rsid w:val="00233BD5"/>
    <w:rsid w:val="0025152A"/>
    <w:rsid w:val="002675CA"/>
    <w:rsid w:val="002B2CC6"/>
    <w:rsid w:val="002B53E4"/>
    <w:rsid w:val="002D3E19"/>
    <w:rsid w:val="002F3774"/>
    <w:rsid w:val="00351561"/>
    <w:rsid w:val="00357954"/>
    <w:rsid w:val="003641B3"/>
    <w:rsid w:val="003A57CB"/>
    <w:rsid w:val="003F2715"/>
    <w:rsid w:val="00424CC0"/>
    <w:rsid w:val="00432DF5"/>
    <w:rsid w:val="0043515F"/>
    <w:rsid w:val="004A3E6D"/>
    <w:rsid w:val="004D5C8C"/>
    <w:rsid w:val="00517288"/>
    <w:rsid w:val="00522A6C"/>
    <w:rsid w:val="005405F5"/>
    <w:rsid w:val="00544D61"/>
    <w:rsid w:val="00574C38"/>
    <w:rsid w:val="005C267C"/>
    <w:rsid w:val="005C53F8"/>
    <w:rsid w:val="005F0574"/>
    <w:rsid w:val="006020BD"/>
    <w:rsid w:val="00677B0D"/>
    <w:rsid w:val="006B0665"/>
    <w:rsid w:val="006D41B5"/>
    <w:rsid w:val="0070186C"/>
    <w:rsid w:val="00731B2B"/>
    <w:rsid w:val="007330A1"/>
    <w:rsid w:val="007441EB"/>
    <w:rsid w:val="00756492"/>
    <w:rsid w:val="007736BE"/>
    <w:rsid w:val="007B58E6"/>
    <w:rsid w:val="008A575D"/>
    <w:rsid w:val="008C2C15"/>
    <w:rsid w:val="008C7F9E"/>
    <w:rsid w:val="008D1077"/>
    <w:rsid w:val="00907E0D"/>
    <w:rsid w:val="00923FD3"/>
    <w:rsid w:val="00935B34"/>
    <w:rsid w:val="009A6E86"/>
    <w:rsid w:val="009F0A83"/>
    <w:rsid w:val="009F54F1"/>
    <w:rsid w:val="00A705F6"/>
    <w:rsid w:val="00A77365"/>
    <w:rsid w:val="00AD2065"/>
    <w:rsid w:val="00B94EA9"/>
    <w:rsid w:val="00BC294E"/>
    <w:rsid w:val="00BC5F10"/>
    <w:rsid w:val="00C04441"/>
    <w:rsid w:val="00C144CC"/>
    <w:rsid w:val="00C21D8B"/>
    <w:rsid w:val="00C97AFA"/>
    <w:rsid w:val="00CC7D5F"/>
    <w:rsid w:val="00D2299D"/>
    <w:rsid w:val="00D23355"/>
    <w:rsid w:val="00DB1389"/>
    <w:rsid w:val="00DC5FDC"/>
    <w:rsid w:val="00DE7934"/>
    <w:rsid w:val="00EC4AA2"/>
    <w:rsid w:val="00EF4E45"/>
    <w:rsid w:val="00F061D6"/>
    <w:rsid w:val="00FB4F18"/>
    <w:rsid w:val="00FD0F6A"/>
    <w:rsid w:val="00FD661B"/>
    <w:rsid w:val="00FE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C2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5C2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6.0498815281801288E-2"/>
          <c:y val="5.1400554097404488E-2"/>
          <c:w val="0.90867571051187501"/>
          <c:h val="0.8326195683872849"/>
        </c:manualLayout>
      </c:layout>
      <c:barChart>
        <c:barDir val="col"/>
        <c:grouping val="clustered"/>
        <c:ser>
          <c:idx val="0"/>
          <c:order val="0"/>
          <c:tx>
            <c:strRef>
              <c:f>Sayfa1!$C$2</c:f>
              <c:strCache>
                <c:ptCount val="1"/>
                <c:pt idx="0">
                  <c:v>2013</c:v>
                </c:pt>
              </c:strCache>
            </c:strRef>
          </c:tx>
          <c:dLbls>
            <c:showVal val="1"/>
          </c:dLbls>
          <c:cat>
            <c:strRef>
              <c:f>Sayfa1!$B$3:$B$6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Sayfa1!$C$3:$C$6</c:f>
              <c:numCache>
                <c:formatCode>0.0%</c:formatCode>
                <c:ptCount val="4"/>
                <c:pt idx="0">
                  <c:v>3.1000000000000003E-2</c:v>
                </c:pt>
                <c:pt idx="1">
                  <c:v>4.5999999999999999E-2</c:v>
                </c:pt>
                <c:pt idx="2">
                  <c:v>4.200000000000001E-2</c:v>
                </c:pt>
                <c:pt idx="3">
                  <c:v>4.5000000000000005E-2</c:v>
                </c:pt>
              </c:numCache>
            </c:numRef>
          </c:val>
        </c:ser>
        <c:ser>
          <c:idx val="1"/>
          <c:order val="1"/>
          <c:tx>
            <c:strRef>
              <c:f>Sayfa1!$D$2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strRef>
              <c:f>Sayfa1!$B$3:$B$6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Sayfa1!$D$3:$D$6</c:f>
              <c:numCache>
                <c:formatCode>0.0%</c:formatCode>
                <c:ptCount val="4"/>
                <c:pt idx="0">
                  <c:v>4.8000000000000001E-2</c:v>
                </c:pt>
                <c:pt idx="1">
                  <c:v>2.1999999999999999E-2</c:v>
                </c:pt>
                <c:pt idx="2">
                  <c:v>1.7000000000000001E-2</c:v>
                </c:pt>
              </c:numCache>
            </c:numRef>
          </c:val>
        </c:ser>
        <c:axId val="47907200"/>
        <c:axId val="47909120"/>
      </c:barChart>
      <c:catAx>
        <c:axId val="47907200"/>
        <c:scaling>
          <c:orientation val="minMax"/>
        </c:scaling>
        <c:axPos val="b"/>
        <c:tickLblPos val="nextTo"/>
        <c:crossAx val="47909120"/>
        <c:crosses val="autoZero"/>
        <c:auto val="1"/>
        <c:lblAlgn val="ctr"/>
        <c:lblOffset val="100"/>
      </c:catAx>
      <c:valAx>
        <c:axId val="47909120"/>
        <c:scaling>
          <c:orientation val="minMax"/>
        </c:scaling>
        <c:axPos val="l"/>
        <c:numFmt formatCode="0.0%" sourceLinked="1"/>
        <c:tickLblPos val="nextTo"/>
        <c:crossAx val="4790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8413940964024559"/>
          <c:y val="4.2457713619130982E-3"/>
          <c:w val="0.48247323217498955"/>
          <c:h val="0.1674343832020998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55339-8BDD-4BB8-BC64-5BBB1091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3</cp:revision>
  <dcterms:created xsi:type="dcterms:W3CDTF">2014-12-10T09:29:00Z</dcterms:created>
  <dcterms:modified xsi:type="dcterms:W3CDTF">2014-12-10T09:31:00Z</dcterms:modified>
</cp:coreProperties>
</file>